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36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364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DREXLER MILLARD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06/27/2006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J CREW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JCG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J. CREW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BROADWAY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10003</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06/27/2006</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$.01</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2"/>
              </w:rPr>
              <w:t>1,979,299</w:t>
            </w:r>
            <w:r>
              <w:rPr>
                <w:rFonts w:ascii="Arial" w:cs="Arial" w:eastAsia="Arial" w:hAnsi="Arial"/>
                <w:sz w:val="22"/>
                <w:szCs w:val="22"/>
                <w:color w:val="008000"/>
                <w:w w:val="82"/>
                <w:vertAlign w:val="superscript"/>
              </w:rPr>
              <w:t>(1)(2)</w:t>
            </w:r>
          </w:p>
        </w:tc>
        <w:tc>
          <w:tcPr>
            <w:tcW w:w="122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720" w:type="dxa"/>
            <w:vAlign w:val="bottom"/>
            <w:tcBorders>
              <w:top w:val="single" w:sz="8" w:color="2C2C2C"/>
            </w:tcBorders>
            <w:gridSpan w:val="5"/>
          </w:tcPr>
          <w:p>
            <w:pPr>
              <w:ind w:left="2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5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240" w:type="dxa"/>
            <w:vAlign w:val="bottom"/>
            <w:gridSpan w:val="6"/>
          </w:tcPr>
          <w:p>
            <w:pPr>
              <w:ind w:left="4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302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3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Amount or</w:t>
            </w:r>
          </w:p>
        </w:tc>
        <w:tc>
          <w:tcPr>
            <w:tcW w:w="8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20" w:type="dxa"/>
            <w:vAlign w:val="bottom"/>
          </w:tcPr>
          <w:p>
            <w:pPr>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2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00" w:type="dxa"/>
            <w:vAlign w:val="bottom"/>
            <w:vMerge w:val="continue"/>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purchase)</w:t>
            </w:r>
          </w:p>
        </w:tc>
        <w:tc>
          <w:tcPr>
            <w:tcW w:w="14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03/26/2014</w:t>
            </w:r>
          </w:p>
        </w:tc>
        <w:tc>
          <w:tcPr>
            <w:tcW w:w="180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9"/>
              </w:rPr>
              <w:t>Common Stock</w:t>
            </w:r>
          </w:p>
        </w:tc>
        <w:tc>
          <w:tcPr>
            <w:tcW w:w="1160" w:type="dxa"/>
            <w:vAlign w:val="bottom"/>
            <w:tcBorders>
              <w:bottom w:val="single" w:sz="8" w:color="2C2C2C"/>
            </w:tcBorders>
          </w:tcPr>
          <w:p>
            <w:pPr>
              <w:jc w:val="center"/>
              <w:ind w:left="81"/>
              <w:spacing w:after="0"/>
              <w:rPr>
                <w:sz w:val="20"/>
                <w:szCs w:val="20"/>
                <w:color w:val="auto"/>
              </w:rPr>
            </w:pPr>
            <w:r>
              <w:rPr>
                <w:rFonts w:ascii="Arial" w:cs="Arial" w:eastAsia="Arial" w:hAnsi="Arial"/>
                <w:sz w:val="18"/>
                <w:szCs w:val="18"/>
                <w:color w:val="0000FF"/>
                <w:w w:val="85"/>
              </w:rPr>
              <w:t>1,620,048</w:t>
            </w:r>
            <w:r>
              <w:rPr>
                <w:rFonts w:ascii="Arial" w:cs="Arial" w:eastAsia="Arial" w:hAnsi="Arial"/>
                <w:sz w:val="22"/>
                <w:szCs w:val="22"/>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12.91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5.0% Convertible Notes</w:t>
            </w:r>
          </w:p>
        </w:tc>
        <w:tc>
          <w:tcPr>
            <w:tcW w:w="14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02/04/2008</w:t>
            </w:r>
          </w:p>
        </w:tc>
        <w:tc>
          <w:tcPr>
            <w:tcW w:w="180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9"/>
              </w:rPr>
              <w:t>Common Stock</w:t>
            </w:r>
          </w:p>
        </w:tc>
        <w:tc>
          <w:tcPr>
            <w:tcW w:w="1160" w:type="dxa"/>
            <w:vAlign w:val="bottom"/>
            <w:tcBorders>
              <w:bottom w:val="single" w:sz="8" w:color="2C2C2C"/>
            </w:tcBorders>
          </w:tcPr>
          <w:p>
            <w:pPr>
              <w:jc w:val="center"/>
              <w:ind w:left="81"/>
              <w:spacing w:after="0"/>
              <w:rPr>
                <w:sz w:val="20"/>
                <w:szCs w:val="20"/>
                <w:color w:val="auto"/>
              </w:rPr>
            </w:pPr>
            <w:r>
              <w:rPr>
                <w:rFonts w:ascii="Arial" w:cs="Arial" w:eastAsia="Arial" w:hAnsi="Arial"/>
                <w:sz w:val="18"/>
                <w:szCs w:val="18"/>
                <w:color w:val="0000FF"/>
                <w:w w:val="85"/>
              </w:rPr>
              <w:t>2,283,213</w:t>
            </w:r>
            <w:r>
              <w:rPr>
                <w:rFonts w:ascii="Arial" w:cs="Arial" w:eastAsia="Arial" w:hAnsi="Arial"/>
                <w:sz w:val="22"/>
                <w:szCs w:val="22"/>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3.52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5.0% Convertible Notes</w:t>
            </w:r>
          </w:p>
        </w:tc>
        <w:tc>
          <w:tcPr>
            <w:tcW w:w="14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02/04/2008</w:t>
            </w:r>
          </w:p>
        </w:tc>
        <w:tc>
          <w:tcPr>
            <w:tcW w:w="180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9"/>
              </w:rPr>
              <w:t>Common Stock</w:t>
            </w:r>
          </w:p>
        </w:tc>
        <w:tc>
          <w:tcPr>
            <w:tcW w:w="116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4"/>
              </w:rPr>
              <w:t>997,265</w:t>
            </w:r>
            <w:r>
              <w:rPr>
                <w:rFonts w:ascii="Arial" w:cs="Arial" w:eastAsia="Arial" w:hAnsi="Arial"/>
                <w:sz w:val="22"/>
                <w:szCs w:val="22"/>
                <w:color w:val="008000"/>
                <w:w w:val="84"/>
                <w:vertAlign w:val="superscript"/>
              </w:rPr>
              <w:t>(2)</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3.52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2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Includes 649,949 restricted shares of common stock, granted under an equity incentive plan of the issuer, of which 388,617 shares vest on 1/27/07, 72,592 shares vest on each of 11/1/07 and 11/1/08, and 58,074 shares vest on each of 8/8/08 and 8/8/09.</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On June 27, 2006, the Reporting Person filed a Form 3 that had the incorrect number of shares listed in the "Amount of Securities Beneficially Owned" column of Table I or the "Amount or Number of Shares" column of Table II. This Amended Form 3 includes the correct numbers.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25% of options became exercisable on each of 1/27/2005 and 1/27/2006, and 25% of options will become exercisable on each of 1/27/2007 and 1/27/2008.</w:t>
      </w:r>
    </w:p>
    <w:p>
      <w:pPr>
        <w:spacing w:after="0" w:line="41" w:lineRule="exact"/>
        <w:rPr>
          <w:rFonts w:ascii="Arial" w:cs="Arial" w:eastAsia="Arial" w:hAnsi="Arial"/>
          <w:sz w:val="14"/>
          <w:szCs w:val="14"/>
          <w:color w:val="008000"/>
        </w:rPr>
      </w:pPr>
    </w:p>
    <w:p>
      <w:pPr>
        <w:ind w:left="40" w:right="120" w:firstLine="9"/>
        <w:spacing w:after="0" w:line="228"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Mr. Drexler holds a 67.86% membership interest in MDJC LLC ("MDJC") and Mr. Drexler and his wife are trustees of a grantor retained annuity trust which holds a 29.64% membership interest in MDJC LLC which in turn owns a 50% membership interest in TPG-MD Investment, LLC ("TPG-MD"). Pursuant to a credit agreement with the issuer, TPG-MD acquired debt of the issuer (the "Convertible Notes"), which Mr. Drexler, acting through MDJC and TPG-MD, has agreed to convert into shares of common stock of the issuer at a conversion price of $3.52 per share immediately prior to the consummation of the issuer's initial public offering of common stock. Upon the conversion of the Convertible Notes, Mr. Drexler will receive 2,283,213 shares of common stock of the issuer and this trust will receive 997,265 shares of common stock of the issuer.</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Owned by a grantor retained annuity trust of which Mr. Drexler and his wife are trustees.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6"/>
        </w:numPr>
        <w:rPr>
          <w:rFonts w:ascii="Arial" w:cs="Arial" w:eastAsia="Arial" w:hAnsi="Arial"/>
          <w:sz w:val="14"/>
          <w:szCs w:val="14"/>
          <w:color w:val="008000"/>
        </w:rPr>
      </w:pPr>
      <w:r>
        <w:rPr>
          <w:rFonts w:ascii="Arial" w:cs="Arial" w:eastAsia="Arial" w:hAnsi="Arial"/>
          <w:sz w:val="14"/>
          <w:szCs w:val="14"/>
          <w:color w:val="008000"/>
        </w:rPr>
        <w:t>Arlene S. Hong is signing on behalf of Millard Drexler pursuant to an authorization and designation letter previously filed with Securities and Exchange Commission. Share and per share amounts reflect a 1.935798 for one stock split the issuer will effect prior to the consummation of the initial public offering of its common stock.</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4"/>
              </w:rPr>
              <w:t>Arlene S. Hong, on behalf of</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01/24/2007</w:t>
            </w:r>
          </w:p>
        </w:tc>
        <w:tc>
          <w:tcPr>
            <w:tcW w:w="0" w:type="dxa"/>
            <w:vAlign w:val="bottom"/>
          </w:tcPr>
          <w:p>
            <w:pPr>
              <w:spacing w:after="0"/>
              <w:rPr>
                <w:sz w:val="1"/>
                <w:szCs w:val="1"/>
                <w:color w:val="auto"/>
              </w:rPr>
            </w:pPr>
          </w:p>
        </w:tc>
      </w:tr>
      <w:tr>
        <w:trPr>
          <w:trHeight w:val="88"/>
        </w:trPr>
        <w:tc>
          <w:tcPr>
            <w:tcW w:w="20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Millard Drexler (6)</w:t>
            </w: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4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6351" TargetMode="External"/><Relationship Id="rId12" Type="http://schemas.openxmlformats.org/officeDocument/2006/relationships/hyperlink" Target="http://www.sec.gov/cgi-bin/browse-edgar?action=getcompany&amp;CIK=0001051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2019-12-16T08:24:45Z</dcterms:created>
  <dcterms:modified xsi:type="dcterms:W3CDTF">2019-12-16T08:24:45Z</dcterms:modified>
</cp:coreProperties>
</file>