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7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73340"/>
                    </a:xfrm>
                    <a:prstGeom prst="rect">
                      <a:avLst/>
                    </a:prstGeom>
                    <a:noFill/>
                  </pic:spPr>
                </pic:pic>
              </a:graphicData>
            </a:graphic>
          </wp:anchor>
        </w:drawing>
      </w:r>
    </w:p>
    <w:p>
      <w:pPr>
        <w:spacing w:after="0" w:line="104" w:lineRule="exact"/>
        <w:rPr>
          <w:sz w:val="24"/>
          <w:szCs w:val="24"/>
          <w:color w:val="auto"/>
        </w:rPr>
      </w:pPr>
    </w:p>
    <w:p>
      <w:pPr>
        <w:sectPr>
          <w:pgSz w:w="11900" w:h="16945" w:orient="portrait"/>
          <w:cols w:equalWidth="0" w:num="2">
            <w:col w:w="2320" w:space="34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Markoe Lynda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J.CREW 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J CREW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JCG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03/07/2011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EVP-Human Resources</w:t>
      </w:r>
    </w:p>
    <w:p>
      <w:pPr>
        <w:spacing w:after="0" w:line="408" w:lineRule="exact"/>
        <w:rPr>
          <w:sz w:val="24"/>
          <w:szCs w:val="24"/>
          <w:color w:val="auto"/>
        </w:rPr>
      </w:pPr>
    </w:p>
    <w:p>
      <w:pPr>
        <w:sectPr>
          <w:pgSz w:w="11900" w:h="16945" w:orient="portrait"/>
          <w:cols w:equalWidth="0" w:num="3">
            <w:col w:w="3360" w:space="720"/>
            <w:col w:w="3254" w:space="720"/>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10003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4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93"/>
              </w:rPr>
              <w:t>03/07/2011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(1)(2)</w:t>
            </w:r>
          </w:p>
        </w:tc>
        <w:tc>
          <w:tcPr>
            <w:tcW w:w="8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30,856</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1340" w:type="dxa"/>
            <w:vAlign w:val="bottom"/>
            <w:tcBorders>
              <w:bottom w:val="single" w:sz="8" w:color="2C2C2C"/>
            </w:tcBorders>
            <w:gridSpan w:val="3"/>
          </w:tcPr>
          <w:p>
            <w:pPr>
              <w:jc w:val="right"/>
              <w:ind w:right="397"/>
              <w:spacing w:after="0"/>
              <w:rPr>
                <w:sz w:val="20"/>
                <w:szCs w:val="20"/>
                <w:color w:val="auto"/>
              </w:rPr>
            </w:pPr>
            <w:r>
              <w:rPr>
                <w:rFonts w:ascii="Arial" w:cs="Arial" w:eastAsia="Arial" w:hAnsi="Arial"/>
                <w:sz w:val="17"/>
                <w:szCs w:val="17"/>
                <w:color w:val="0000FF"/>
              </w:rPr>
              <w:t>7,663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40" w:type="dxa"/>
            <w:vAlign w:val="bottom"/>
            <w:tcBorders>
              <w:bottom w:val="single" w:sz="8" w:color="2C2C2C"/>
            </w:tcBorders>
            <w:gridSpan w:val="3"/>
          </w:tcPr>
          <w:p>
            <w:pPr>
              <w:jc w:val="center"/>
              <w:ind w:left="589"/>
              <w:spacing w:after="0"/>
              <w:rPr>
                <w:sz w:val="20"/>
                <w:szCs w:val="20"/>
                <w:color w:val="auto"/>
              </w:rPr>
            </w:pPr>
            <w:r>
              <w:rPr>
                <w:rFonts w:ascii="Arial" w:cs="Arial" w:eastAsia="Arial" w:hAnsi="Arial"/>
                <w:sz w:val="17"/>
                <w:szCs w:val="17"/>
                <w:color w:val="0000FF"/>
                <w:w w:val="93"/>
              </w:rPr>
              <w:t>03/07/2011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(3)</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7,663</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26"/>
              <w:spacing w:after="0"/>
              <w:rPr>
                <w:sz w:val="20"/>
                <w:szCs w:val="20"/>
                <w:color w:val="auto"/>
              </w:rPr>
            </w:pP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64"/>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64"/>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6.93</w:t>
            </w:r>
          </w:p>
        </w:tc>
        <w:tc>
          <w:tcPr>
            <w:tcW w:w="140" w:type="dxa"/>
            <w:vAlign w:val="bottom"/>
          </w:tcPr>
          <w:p>
            <w:pPr>
              <w:spacing w:after="0"/>
              <w:rPr>
                <w:sz w:val="17"/>
                <w:szCs w:val="17"/>
                <w:color w:val="auto"/>
              </w:rPr>
            </w:pPr>
          </w:p>
        </w:tc>
        <w:tc>
          <w:tcPr>
            <w:tcW w:w="1080" w:type="dxa"/>
            <w:vAlign w:val="bottom"/>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line="199"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(4)</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19,357</w:t>
            </w:r>
          </w:p>
        </w:tc>
        <w:tc>
          <w:tcPr>
            <w:tcW w:w="840" w:type="dxa"/>
            <w:vAlign w:val="bottom"/>
            <w:gridSpan w:val="2"/>
          </w:tcPr>
          <w:p>
            <w:pPr>
              <w:jc w:val="center"/>
              <w:ind w:right="41"/>
              <w:spacing w:after="0"/>
              <w:rPr>
                <w:sz w:val="20"/>
                <w:szCs w:val="20"/>
                <w:color w:val="auto"/>
              </w:rPr>
            </w:pPr>
            <w:r>
              <w:rPr>
                <w:rFonts w:ascii="Arial" w:cs="Arial" w:eastAsia="Arial" w:hAnsi="Arial"/>
                <w:sz w:val="13"/>
                <w:szCs w:val="13"/>
                <w:color w:val="0000FF"/>
                <w:w w:val="95"/>
              </w:rPr>
              <w:t>08/14/2008</w:t>
            </w:r>
          </w:p>
        </w:tc>
        <w:tc>
          <w:tcPr>
            <w:tcW w:w="740" w:type="dxa"/>
            <w:vAlign w:val="bottom"/>
          </w:tcPr>
          <w:p>
            <w:pPr>
              <w:ind w:left="20"/>
              <w:spacing w:after="0"/>
              <w:rPr>
                <w:sz w:val="20"/>
                <w:szCs w:val="20"/>
                <w:color w:val="auto"/>
              </w:rPr>
            </w:pPr>
            <w:r>
              <w:rPr>
                <w:rFonts w:ascii="Arial" w:cs="Arial" w:eastAsia="Arial" w:hAnsi="Arial"/>
                <w:sz w:val="13"/>
                <w:szCs w:val="13"/>
                <w:color w:val="0000FF"/>
              </w:rPr>
              <w:t>08/14/2015</w:t>
            </w:r>
          </w:p>
        </w:tc>
        <w:tc>
          <w:tcPr>
            <w:tcW w:w="660" w:type="dxa"/>
            <w:vAlign w:val="bottom"/>
            <w:gridSpan w:val="2"/>
          </w:tcPr>
          <w:p>
            <w:pPr>
              <w:jc w:val="center"/>
              <w:ind w:right="58"/>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6"/>
              <w:spacing w:after="0"/>
              <w:rPr>
                <w:sz w:val="20"/>
                <w:szCs w:val="20"/>
                <w:color w:val="auto"/>
              </w:rPr>
            </w:pPr>
            <w:r>
              <w:rPr>
                <w:rFonts w:ascii="Arial" w:cs="Arial" w:eastAsia="Arial" w:hAnsi="Arial"/>
                <w:sz w:val="17"/>
                <w:szCs w:val="17"/>
                <w:color w:val="0000FF"/>
                <w:w w:val="92"/>
              </w:rPr>
              <w:t>19,357</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36.57</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138"/>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33.18</w:t>
            </w:r>
          </w:p>
        </w:tc>
        <w:tc>
          <w:tcPr>
            <w:tcW w:w="140" w:type="dxa"/>
            <w:vAlign w:val="bottom"/>
          </w:tcPr>
          <w:p>
            <w:pPr>
              <w:spacing w:after="0"/>
              <w:rPr>
                <w:sz w:val="18"/>
                <w:szCs w:val="18"/>
                <w:color w:val="auto"/>
              </w:rPr>
            </w:pPr>
          </w:p>
        </w:tc>
        <w:tc>
          <w:tcPr>
            <w:tcW w:w="1080" w:type="dxa"/>
            <w:vAlign w:val="bottom"/>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line="212"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(4)</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15,000</w:t>
            </w:r>
          </w:p>
        </w:tc>
        <w:tc>
          <w:tcPr>
            <w:tcW w:w="840" w:type="dxa"/>
            <w:vAlign w:val="bottom"/>
            <w:gridSpan w:val="2"/>
          </w:tcPr>
          <w:p>
            <w:pPr>
              <w:jc w:val="center"/>
              <w:ind w:right="41"/>
              <w:spacing w:after="0"/>
              <w:rPr>
                <w:sz w:val="20"/>
                <w:szCs w:val="20"/>
                <w:color w:val="auto"/>
              </w:rPr>
            </w:pPr>
            <w:r>
              <w:rPr>
                <w:rFonts w:ascii="Arial" w:cs="Arial" w:eastAsia="Arial" w:hAnsi="Arial"/>
                <w:sz w:val="11"/>
                <w:szCs w:val="11"/>
                <w:color w:val="008000"/>
              </w:rPr>
              <w:t>(5)</w:t>
            </w:r>
          </w:p>
        </w:tc>
        <w:tc>
          <w:tcPr>
            <w:tcW w:w="740" w:type="dxa"/>
            <w:vAlign w:val="bottom"/>
          </w:tcPr>
          <w:p>
            <w:pPr>
              <w:ind w:left="20"/>
              <w:spacing w:after="0"/>
              <w:rPr>
                <w:sz w:val="20"/>
                <w:szCs w:val="20"/>
                <w:color w:val="auto"/>
              </w:rPr>
            </w:pPr>
            <w:r>
              <w:rPr>
                <w:rFonts w:ascii="Arial" w:cs="Arial" w:eastAsia="Arial" w:hAnsi="Arial"/>
                <w:sz w:val="13"/>
                <w:szCs w:val="13"/>
                <w:color w:val="0000FF"/>
              </w:rPr>
              <w:t>11/15/2013</w:t>
            </w:r>
          </w:p>
        </w:tc>
        <w:tc>
          <w:tcPr>
            <w:tcW w:w="660" w:type="dxa"/>
            <w:vAlign w:val="bottom"/>
            <w:gridSpan w:val="2"/>
          </w:tcPr>
          <w:p>
            <w:pPr>
              <w:jc w:val="center"/>
              <w:ind w:right="58"/>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6"/>
              <w:spacing w:after="0"/>
              <w:rPr>
                <w:sz w:val="20"/>
                <w:szCs w:val="20"/>
                <w:color w:val="auto"/>
              </w:rPr>
            </w:pPr>
            <w:r>
              <w:rPr>
                <w:rFonts w:ascii="Arial" w:cs="Arial" w:eastAsia="Arial" w:hAnsi="Arial"/>
                <w:sz w:val="17"/>
                <w:szCs w:val="17"/>
                <w:color w:val="0000FF"/>
                <w:w w:val="92"/>
              </w:rPr>
              <w:t>15,000</w:t>
            </w:r>
          </w:p>
        </w:tc>
        <w:tc>
          <w:tcPr>
            <w:tcW w:w="60" w:type="dxa"/>
            <w:vAlign w:val="bottom"/>
          </w:tcPr>
          <w:p>
            <w:pPr>
              <w:spacing w:after="0"/>
              <w:rPr>
                <w:sz w:val="18"/>
                <w:szCs w:val="18"/>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10.32</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center"/>
              <w:ind w:right="13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39.525</w:t>
            </w:r>
          </w:p>
        </w:tc>
        <w:tc>
          <w:tcPr>
            <w:tcW w:w="140" w:type="dxa"/>
            <w:vAlign w:val="bottom"/>
          </w:tcPr>
          <w:p>
            <w:pPr>
              <w:spacing w:after="0"/>
              <w:rPr>
                <w:sz w:val="12"/>
                <w:szCs w:val="12"/>
                <w:color w:val="auto"/>
              </w:rPr>
            </w:pPr>
          </w:p>
        </w:tc>
        <w:tc>
          <w:tcPr>
            <w:tcW w:w="1080" w:type="dxa"/>
            <w:vAlign w:val="bottom"/>
            <w:vMerge w:val="restart"/>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spacing w:after="0" w:line="278"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(4)</w:t>
            </w:r>
          </w:p>
        </w:tc>
        <w:tc>
          <w:tcPr>
            <w:tcW w:w="940" w:type="dxa"/>
            <w:vAlign w:val="bottom"/>
            <w:vMerge w:val="restart"/>
          </w:tcPr>
          <w:p>
            <w:pPr>
              <w:jc w:val="center"/>
              <w:ind w:left="298"/>
              <w:spacing w:after="0"/>
              <w:rPr>
                <w:sz w:val="20"/>
                <w:szCs w:val="20"/>
                <w:color w:val="auto"/>
              </w:rPr>
            </w:pPr>
            <w:r>
              <w:rPr>
                <w:rFonts w:ascii="Arial" w:cs="Arial" w:eastAsia="Arial" w:hAnsi="Arial"/>
                <w:sz w:val="13"/>
                <w:szCs w:val="13"/>
                <w:color w:val="0000FF"/>
                <w:w w:val="92"/>
              </w:rPr>
              <w:t>7,500</w:t>
            </w:r>
          </w:p>
        </w:tc>
        <w:tc>
          <w:tcPr>
            <w:tcW w:w="84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05/15/2014</w:t>
            </w:r>
          </w:p>
        </w:tc>
        <w:tc>
          <w:tcPr>
            <w:tcW w:w="660" w:type="dxa"/>
            <w:vAlign w:val="bottom"/>
            <w:gridSpan w:val="2"/>
          </w:tcPr>
          <w:p>
            <w:pPr>
              <w:jc w:val="center"/>
              <w:ind w:right="58"/>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7,500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3.975</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38"/>
              <w:spacing w:after="0" w:line="148"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28.585</w:t>
            </w:r>
          </w:p>
        </w:tc>
        <w:tc>
          <w:tcPr>
            <w:tcW w:w="140" w:type="dxa"/>
            <w:vAlign w:val="bottom"/>
          </w:tcPr>
          <w:p>
            <w:pPr>
              <w:spacing w:after="0"/>
              <w:rPr>
                <w:sz w:val="17"/>
                <w:szCs w:val="17"/>
                <w:color w:val="auto"/>
              </w:rPr>
            </w:pPr>
          </w:p>
        </w:tc>
        <w:tc>
          <w:tcPr>
            <w:tcW w:w="1080" w:type="dxa"/>
            <w:vAlign w:val="bottom"/>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line="199"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(4)</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20,000</w:t>
            </w:r>
          </w:p>
        </w:tc>
        <w:tc>
          <w:tcPr>
            <w:tcW w:w="840" w:type="dxa"/>
            <w:vAlign w:val="bottom"/>
            <w:gridSpan w:val="2"/>
          </w:tcPr>
          <w:p>
            <w:pPr>
              <w:jc w:val="center"/>
              <w:ind w:right="41"/>
              <w:spacing w:after="0"/>
              <w:rPr>
                <w:sz w:val="20"/>
                <w:szCs w:val="20"/>
                <w:color w:val="auto"/>
              </w:rPr>
            </w:pPr>
            <w:r>
              <w:rPr>
                <w:rFonts w:ascii="Arial" w:cs="Arial" w:eastAsia="Arial" w:hAnsi="Arial"/>
                <w:sz w:val="11"/>
                <w:szCs w:val="11"/>
                <w:color w:val="008000"/>
              </w:rPr>
              <w:t>(7)</w:t>
            </w:r>
          </w:p>
        </w:tc>
        <w:tc>
          <w:tcPr>
            <w:tcW w:w="740" w:type="dxa"/>
            <w:vAlign w:val="bottom"/>
          </w:tcPr>
          <w:p>
            <w:pPr>
              <w:ind w:left="20"/>
              <w:spacing w:after="0"/>
              <w:rPr>
                <w:sz w:val="20"/>
                <w:szCs w:val="20"/>
                <w:color w:val="auto"/>
              </w:rPr>
            </w:pPr>
            <w:r>
              <w:rPr>
                <w:rFonts w:ascii="Arial" w:cs="Arial" w:eastAsia="Arial" w:hAnsi="Arial"/>
                <w:sz w:val="13"/>
                <w:szCs w:val="13"/>
                <w:color w:val="0000FF"/>
              </w:rPr>
              <w:t>07/15/2015</w:t>
            </w:r>
          </w:p>
        </w:tc>
        <w:tc>
          <w:tcPr>
            <w:tcW w:w="660" w:type="dxa"/>
            <w:vAlign w:val="bottom"/>
            <w:gridSpan w:val="2"/>
          </w:tcPr>
          <w:p>
            <w:pPr>
              <w:jc w:val="center"/>
              <w:ind w:right="58"/>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6"/>
              <w:spacing w:after="0"/>
              <w:rPr>
                <w:sz w:val="20"/>
                <w:szCs w:val="20"/>
                <w:color w:val="auto"/>
              </w:rPr>
            </w:pPr>
            <w:r>
              <w:rPr>
                <w:rFonts w:ascii="Arial" w:cs="Arial" w:eastAsia="Arial" w:hAnsi="Arial"/>
                <w:sz w:val="17"/>
                <w:szCs w:val="17"/>
                <w:color w:val="0000FF"/>
                <w:w w:val="92"/>
              </w:rPr>
              <w:t>20,000</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14.915</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138"/>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16.25</w:t>
            </w:r>
          </w:p>
        </w:tc>
        <w:tc>
          <w:tcPr>
            <w:tcW w:w="140" w:type="dxa"/>
            <w:vAlign w:val="bottom"/>
          </w:tcPr>
          <w:p>
            <w:pPr>
              <w:spacing w:after="0"/>
              <w:rPr>
                <w:sz w:val="18"/>
                <w:szCs w:val="18"/>
                <w:color w:val="auto"/>
              </w:rPr>
            </w:pPr>
          </w:p>
        </w:tc>
        <w:tc>
          <w:tcPr>
            <w:tcW w:w="1080" w:type="dxa"/>
            <w:vAlign w:val="bottom"/>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8"/>
                <w:szCs w:val="18"/>
                <w:color w:val="auto"/>
              </w:rPr>
            </w:pPr>
          </w:p>
        </w:tc>
        <w:tc>
          <w:tcPr>
            <w:tcW w:w="760" w:type="dxa"/>
            <w:vAlign w:val="bottom"/>
            <w:gridSpan w:val="2"/>
          </w:tcPr>
          <w:p>
            <w:pPr>
              <w:ind w:left="80"/>
              <w:spacing w:after="0" w:line="212"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(10)</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30,000</w:t>
            </w:r>
          </w:p>
        </w:tc>
        <w:tc>
          <w:tcPr>
            <w:tcW w:w="840" w:type="dxa"/>
            <w:vAlign w:val="bottom"/>
            <w:gridSpan w:val="2"/>
          </w:tcPr>
          <w:p>
            <w:pPr>
              <w:jc w:val="center"/>
              <w:ind w:right="41"/>
              <w:spacing w:after="0"/>
              <w:rPr>
                <w:sz w:val="20"/>
                <w:szCs w:val="20"/>
                <w:color w:val="auto"/>
              </w:rPr>
            </w:pPr>
            <w:r>
              <w:rPr>
                <w:rFonts w:ascii="Arial" w:cs="Arial" w:eastAsia="Arial" w:hAnsi="Arial"/>
                <w:sz w:val="11"/>
                <w:szCs w:val="11"/>
                <w:color w:val="008000"/>
              </w:rPr>
              <w:t>(8)</w:t>
            </w:r>
          </w:p>
        </w:tc>
        <w:tc>
          <w:tcPr>
            <w:tcW w:w="740" w:type="dxa"/>
            <w:vAlign w:val="bottom"/>
          </w:tcPr>
          <w:p>
            <w:pPr>
              <w:ind w:left="20"/>
              <w:spacing w:after="0"/>
              <w:rPr>
                <w:sz w:val="20"/>
                <w:szCs w:val="20"/>
                <w:color w:val="auto"/>
              </w:rPr>
            </w:pPr>
            <w:r>
              <w:rPr>
                <w:rFonts w:ascii="Arial" w:cs="Arial" w:eastAsia="Arial" w:hAnsi="Arial"/>
                <w:sz w:val="13"/>
                <w:szCs w:val="13"/>
                <w:color w:val="0000FF"/>
              </w:rPr>
              <w:t>04/15/2016</w:t>
            </w:r>
          </w:p>
        </w:tc>
        <w:tc>
          <w:tcPr>
            <w:tcW w:w="660" w:type="dxa"/>
            <w:vAlign w:val="bottom"/>
            <w:gridSpan w:val="2"/>
          </w:tcPr>
          <w:p>
            <w:pPr>
              <w:jc w:val="center"/>
              <w:ind w:right="58"/>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6"/>
              <w:spacing w:after="0"/>
              <w:rPr>
                <w:sz w:val="20"/>
                <w:szCs w:val="20"/>
                <w:color w:val="auto"/>
              </w:rPr>
            </w:pPr>
            <w:r>
              <w:rPr>
                <w:rFonts w:ascii="Arial" w:cs="Arial" w:eastAsia="Arial" w:hAnsi="Arial"/>
                <w:sz w:val="17"/>
                <w:szCs w:val="17"/>
                <w:color w:val="0000FF"/>
                <w:w w:val="92"/>
              </w:rPr>
              <w:t>30,000</w:t>
            </w:r>
          </w:p>
        </w:tc>
        <w:tc>
          <w:tcPr>
            <w:tcW w:w="60" w:type="dxa"/>
            <w:vAlign w:val="bottom"/>
          </w:tcPr>
          <w:p>
            <w:pPr>
              <w:spacing w:after="0"/>
              <w:rPr>
                <w:sz w:val="18"/>
                <w:szCs w:val="18"/>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27.25</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center"/>
              <w:ind w:right="13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35.02</w:t>
            </w:r>
          </w:p>
        </w:tc>
        <w:tc>
          <w:tcPr>
            <w:tcW w:w="140" w:type="dxa"/>
            <w:vAlign w:val="bottom"/>
          </w:tcPr>
          <w:p>
            <w:pPr>
              <w:spacing w:after="0"/>
              <w:rPr>
                <w:sz w:val="18"/>
                <w:szCs w:val="18"/>
                <w:color w:val="auto"/>
              </w:rPr>
            </w:pPr>
          </w:p>
        </w:tc>
        <w:tc>
          <w:tcPr>
            <w:tcW w:w="1080" w:type="dxa"/>
            <w:vAlign w:val="bottom"/>
          </w:tcPr>
          <w:p>
            <w:pPr>
              <w:jc w:val="center"/>
              <w:ind w:left="13"/>
              <w:spacing w:after="0"/>
              <w:rPr>
                <w:sz w:val="20"/>
                <w:szCs w:val="20"/>
                <w:color w:val="auto"/>
              </w:rPr>
            </w:pPr>
            <w:r>
              <w:rPr>
                <w:rFonts w:ascii="Arial" w:cs="Arial" w:eastAsia="Arial" w:hAnsi="Arial"/>
                <w:sz w:val="13"/>
                <w:szCs w:val="13"/>
                <w:color w:val="0000FF"/>
                <w:w w:val="92"/>
              </w:rPr>
              <w:t>03/07/2011</w:t>
            </w:r>
          </w:p>
        </w:tc>
        <w:tc>
          <w:tcPr>
            <w:tcW w:w="1180" w:type="dxa"/>
            <w:vAlign w:val="bottom"/>
          </w:tcPr>
          <w:p>
            <w:pPr>
              <w:spacing w:after="0"/>
              <w:rPr>
                <w:sz w:val="18"/>
                <w:szCs w:val="18"/>
                <w:color w:val="auto"/>
              </w:rPr>
            </w:pPr>
          </w:p>
        </w:tc>
        <w:tc>
          <w:tcPr>
            <w:tcW w:w="760" w:type="dxa"/>
            <w:vAlign w:val="bottom"/>
            <w:gridSpan w:val="2"/>
          </w:tcPr>
          <w:p>
            <w:pPr>
              <w:ind w:left="80"/>
              <w:spacing w:after="0" w:line="212"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(11)</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30,000</w:t>
            </w:r>
          </w:p>
        </w:tc>
        <w:tc>
          <w:tcPr>
            <w:tcW w:w="840" w:type="dxa"/>
            <w:vAlign w:val="bottom"/>
            <w:gridSpan w:val="2"/>
          </w:tcPr>
          <w:p>
            <w:pPr>
              <w:jc w:val="center"/>
              <w:ind w:right="41"/>
              <w:spacing w:after="0"/>
              <w:rPr>
                <w:sz w:val="20"/>
                <w:szCs w:val="20"/>
                <w:color w:val="auto"/>
              </w:rPr>
            </w:pPr>
            <w:r>
              <w:rPr>
                <w:rFonts w:ascii="Arial" w:cs="Arial" w:eastAsia="Arial" w:hAnsi="Arial"/>
                <w:sz w:val="11"/>
                <w:szCs w:val="11"/>
                <w:color w:val="008000"/>
              </w:rPr>
              <w:t>(9)</w:t>
            </w:r>
          </w:p>
        </w:tc>
        <w:tc>
          <w:tcPr>
            <w:tcW w:w="740" w:type="dxa"/>
            <w:vAlign w:val="bottom"/>
          </w:tcPr>
          <w:p>
            <w:pPr>
              <w:ind w:left="20"/>
              <w:spacing w:after="0"/>
              <w:rPr>
                <w:sz w:val="20"/>
                <w:szCs w:val="20"/>
                <w:color w:val="auto"/>
              </w:rPr>
            </w:pPr>
            <w:r>
              <w:rPr>
                <w:rFonts w:ascii="Arial" w:cs="Arial" w:eastAsia="Arial" w:hAnsi="Arial"/>
                <w:sz w:val="13"/>
                <w:szCs w:val="13"/>
                <w:color w:val="0000FF"/>
              </w:rPr>
              <w:t>09/15/2017</w:t>
            </w:r>
          </w:p>
        </w:tc>
        <w:tc>
          <w:tcPr>
            <w:tcW w:w="660" w:type="dxa"/>
            <w:vAlign w:val="bottom"/>
            <w:gridSpan w:val="2"/>
          </w:tcPr>
          <w:p>
            <w:pPr>
              <w:jc w:val="center"/>
              <w:ind w:right="58"/>
              <w:spacing w:after="0"/>
              <w:rPr>
                <w:sz w:val="20"/>
                <w:szCs w:val="20"/>
                <w:color w:val="auto"/>
              </w:rPr>
            </w:pPr>
            <w:r>
              <w:rPr>
                <w:rFonts w:ascii="Arial" w:cs="Arial" w:eastAsia="Arial" w:hAnsi="Arial"/>
                <w:sz w:val="13"/>
                <w:szCs w:val="13"/>
                <w:color w:val="0000FF"/>
                <w:w w:val="94"/>
              </w:rPr>
              <w:t>Common</w:t>
            </w:r>
          </w:p>
        </w:tc>
        <w:tc>
          <w:tcPr>
            <w:tcW w:w="560" w:type="dxa"/>
            <w:vAlign w:val="bottom"/>
          </w:tcPr>
          <w:p>
            <w:pPr>
              <w:jc w:val="center"/>
              <w:ind w:right="6"/>
              <w:spacing w:after="0"/>
              <w:rPr>
                <w:sz w:val="20"/>
                <w:szCs w:val="20"/>
                <w:color w:val="auto"/>
              </w:rPr>
            </w:pPr>
            <w:r>
              <w:rPr>
                <w:rFonts w:ascii="Arial" w:cs="Arial" w:eastAsia="Arial" w:hAnsi="Arial"/>
                <w:sz w:val="17"/>
                <w:szCs w:val="17"/>
                <w:color w:val="0000FF"/>
                <w:w w:val="92"/>
              </w:rPr>
              <w:t>30,000</w:t>
            </w:r>
          </w:p>
        </w:tc>
        <w:tc>
          <w:tcPr>
            <w:tcW w:w="60" w:type="dxa"/>
            <w:vAlign w:val="bottom"/>
          </w:tcPr>
          <w:p>
            <w:pPr>
              <w:spacing w:after="0"/>
              <w:rPr>
                <w:sz w:val="18"/>
                <w:szCs w:val="18"/>
                <w:color w:val="auto"/>
              </w:rPr>
            </w:pPr>
          </w:p>
        </w:tc>
        <w:tc>
          <w:tcPr>
            <w:tcW w:w="720" w:type="dxa"/>
            <w:vAlign w:val="bottom"/>
            <w:gridSpan w:val="2"/>
          </w:tcPr>
          <w:p>
            <w:pPr>
              <w:jc w:val="center"/>
              <w:ind w:right="7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8.48</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138"/>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purchase)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the merger agreement, dated as of November 23, 2010, by and among the issuer, Chinos Holdings, Inc. and Chinos Acquisition Corporation, as amended on January 18, 2011 (the "Merger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12,000 restricted shares of Common Stock, granted under an equity incentive plan of the issuer, which vested immediately prior to the effective time of the merger.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contributed, valued at $43.50 per share, to Chinos Holdings, Inc. in exchange for 74,074 shares of Class L Common Stock, valued at $4.50 per share.</w:t>
      </w:r>
    </w:p>
    <w:p>
      <w:pPr>
        <w:spacing w:after="0" w:line="51"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the Merger Agreement. Options, to the extent unvested, vested and were cancelled and converted into the right to receive per share the excess of $43.50 over the per share exercise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options became exercisable in two equal annual installments beginning on November 15,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options become exercisable in two equal annual installments beginning on May 15, 2011.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options became exercisable in four equal annual installments beginning on July 15,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options became exercisable in five equal annual installments beginning on April 15, 2010.</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options become exercisable in five equal annual installments beginning on September 15, 2011.</w:t>
      </w:r>
    </w:p>
    <w:p>
      <w:pPr>
        <w:spacing w:after="0" w:line="51" w:lineRule="exact"/>
        <w:rPr>
          <w:rFonts w:ascii="Arial" w:cs="Arial" w:eastAsia="Arial" w:hAnsi="Arial"/>
          <w:sz w:val="13"/>
          <w:szCs w:val="13"/>
          <w:color w:val="008000"/>
        </w:rPr>
      </w:pPr>
    </w:p>
    <w:p>
      <w:pPr>
        <w:ind w:left="40" w:right="220" w:firstLine="8"/>
        <w:spacing w:after="0" w:line="314" w:lineRule="auto"/>
        <w:tabs>
          <w:tab w:leader="none" w:pos="241"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an individual agreement entered into in connection with the merger, 15,129.05 of these options were replaced with an immediately exercisable option to purchase 549,688 shares of Class A common stock of Chinos Holdings, Inc. for $0.25 per share. The remainder of these options were disposed of pursuant to the Merger Agreement; to the extent unvested, vested and were cancelled and converted</w:t>
      </w:r>
    </w:p>
    <w:p>
      <w:pPr>
        <w:sectPr>
          <w:pgSz w:w="11900" w:h="16945"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into the right to receive per share the excess of $43.50 over the per share exercise price.</w:t>
      </w:r>
    </w:p>
    <w:p>
      <w:pPr>
        <w:spacing w:after="0" w:line="52" w:lineRule="exact"/>
        <w:rPr>
          <w:sz w:val="20"/>
          <w:szCs w:val="20"/>
          <w:color w:val="auto"/>
        </w:rPr>
      </w:pPr>
    </w:p>
    <w:p>
      <w:pPr>
        <w:ind w:firstLine="8"/>
        <w:spacing w:after="0" w:line="272" w:lineRule="auto"/>
        <w:tabs>
          <w:tab w:leader="none" w:pos="196"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Pursuant to an individual agreement entered into in connection with the merger, all 30,000 of these options were replaced with an immediately exercisable option to purchase 339,200 shares of Class A common stock of Chinos Holdings, Inc. for $0.25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008000"/>
        </w:rPr>
        <w:t>Alice Givens is signing on behalf of Lynda Markoe pursuant to a power of attorney previously filed with the Securities and Exchange Commission.</w:t>
      </w:r>
    </w:p>
    <w:p>
      <w:pPr>
        <w:spacing w:after="0" w:line="8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Alice Givens pursuant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313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power of attorney filed with the 03/09/2011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560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200" w:firstLine="8"/>
        <w:spacing w:after="0" w:line="321" w:lineRule="auto"/>
        <w:tabs>
          <w:tab w:leader="none" w:pos="14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280" w:top="12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2790" TargetMode="External"/><Relationship Id="rId13" Type="http://schemas.openxmlformats.org/officeDocument/2006/relationships/hyperlink" Target="http://www.sec.gov/cgi-bin/browse-edgar?action=getcompany&amp;CIK=0001051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2019-12-16T19:39:23Z</dcterms:created>
  <dcterms:modified xsi:type="dcterms:W3CDTF">2019-12-16T19:39:23Z</dcterms:modified>
</cp:coreProperties>
</file>